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A45" w:rsidRPr="00B266B0" w:rsidRDefault="008B6A45" w:rsidP="008B6A4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WG2 NR Adhoc</w:t>
      </w:r>
      <w:r w:rsidRPr="00B266B0">
        <w:rPr>
          <w:bCs/>
          <w:noProof w:val="0"/>
          <w:sz w:val="24"/>
          <w:szCs w:val="24"/>
        </w:rPr>
        <w:tab/>
      </w:r>
      <w:r w:rsidR="00A577FA">
        <w:rPr>
          <w:bCs/>
          <w:noProof w:val="0"/>
          <w:sz w:val="24"/>
          <w:szCs w:val="24"/>
        </w:rPr>
        <w:t xml:space="preserve">R2-1700805 </w:t>
      </w:r>
      <w:bookmarkStart w:id="0" w:name="_GoBack"/>
      <w:bookmarkEnd w:id="0"/>
      <w:r w:rsidR="00A577FA">
        <w:rPr>
          <w:bCs/>
          <w:noProof w:val="0"/>
          <w:sz w:val="24"/>
          <w:szCs w:val="24"/>
        </w:rPr>
        <w:t>(</w:t>
      </w:r>
      <w:r w:rsidRPr="00C8472C">
        <w:rPr>
          <w:bCs/>
          <w:noProof w:val="0"/>
          <w:sz w:val="24"/>
          <w:szCs w:val="24"/>
        </w:rPr>
        <w:t>R2-1700058</w:t>
      </w:r>
      <w:r w:rsidR="00A577FA">
        <w:rPr>
          <w:bCs/>
          <w:noProof w:val="0"/>
          <w:sz w:val="24"/>
          <w:szCs w:val="24"/>
        </w:rPr>
        <w:t>)</w:t>
      </w:r>
    </w:p>
    <w:p w:rsidR="008B6A45" w:rsidRPr="00B266B0" w:rsidRDefault="008B6A45" w:rsidP="008B6A45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Athens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Greece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13 - 17 February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B6A45">
        <w:rPr>
          <w:rFonts w:cs="Arial"/>
          <w:b/>
          <w:bCs/>
          <w:sz w:val="24"/>
          <w:lang w:eastAsia="ja-JP"/>
        </w:rPr>
        <w:t>10</w:t>
      </w:r>
      <w:r w:rsidR="00071640">
        <w:rPr>
          <w:rFonts w:cs="Arial"/>
          <w:b/>
          <w:bCs/>
          <w:sz w:val="24"/>
          <w:lang w:eastAsia="ja-JP"/>
        </w:rPr>
        <w:t>.2.2.5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57689">
        <w:rPr>
          <w:rFonts w:ascii="Arial" w:hAnsi="Arial" w:cs="Arial"/>
          <w:b/>
          <w:bCs/>
          <w:sz w:val="24"/>
        </w:rPr>
        <w:t>S</w:t>
      </w:r>
      <w:r w:rsidR="00DD3A38">
        <w:rPr>
          <w:rFonts w:ascii="Arial" w:hAnsi="Arial" w:cs="Arial"/>
          <w:b/>
          <w:bCs/>
          <w:sz w:val="24"/>
        </w:rPr>
        <w:t>ecurity considerations for LTE/NR tight interworking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D3A38" w:rsidRPr="00A075EE">
        <w:rPr>
          <w:rFonts w:ascii="Arial" w:hAnsi="Arial" w:cs="Arial"/>
          <w:b/>
          <w:bCs/>
          <w:sz w:val="24"/>
        </w:rPr>
        <w:t>FS_ NR_newRAT</w:t>
      </w:r>
      <w:r w:rsidR="00DD3A38">
        <w:rPr>
          <w:rFonts w:ascii="Arial" w:hAnsi="Arial" w:cs="Arial"/>
          <w:b/>
          <w:bCs/>
          <w:sz w:val="24"/>
        </w:rPr>
        <w:t xml:space="preserve"> - Release 14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CD4C7B" w:rsidRDefault="00DD3A38" w:rsidP="00CD4C7B">
      <w:r>
        <w:t>In this contribution, we discuss security keying considerations for the LTE/NR tight interworking scenarios. We make a few observations and proposals to start discussions on this topic.</w:t>
      </w:r>
      <w:r w:rsidR="00F571D6">
        <w:t xml:space="preserve"> A set of guidelines are proposed to be captured in the running TR.</w:t>
      </w:r>
    </w:p>
    <w:p w:rsidR="00DD3A38" w:rsidRDefault="00DD3A38" w:rsidP="00DD3A38">
      <w:r>
        <w:t xml:space="preserve">The </w:t>
      </w:r>
      <w:r w:rsidRPr="00222458">
        <w:t>three deployment scenarios</w:t>
      </w:r>
      <w:r>
        <w:t xml:space="preserve"> that have been agreed to be studied as part of LTE-NR tight interworking are shown in Figure 1 below. These scenarios correspond to the non-standalone scenarios captured in RP-161266 [1] as scenarios 3, 4 and 7 respectively:</w:t>
      </w:r>
    </w:p>
    <w:p w:rsidR="00DD3A38" w:rsidRDefault="00DD3A38" w:rsidP="00DD3A38">
      <w:r w:rsidRPr="00B529A9">
        <w:rPr>
          <w:lang w:val="en-IN"/>
        </w:rPr>
        <w:object w:dxaOrig="12815" w:dyaOrig="39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148pt" o:ole="">
            <v:imagedata r:id="rId10" o:title=""/>
          </v:shape>
          <o:OLEObject Type="Embed" ProgID="Visio.Drawing.11" ShapeID="_x0000_i1025" DrawAspect="Content" ObjectID="_1547474517" r:id="rId11"/>
        </w:object>
      </w:r>
    </w:p>
    <w:p w:rsidR="00DD3A38" w:rsidRPr="006E13D1" w:rsidRDefault="00DD3A38" w:rsidP="00DD3A38">
      <w:pPr>
        <w:pStyle w:val="TH"/>
      </w:pPr>
      <w:r w:rsidRPr="00E74268">
        <w:t>Figure 1: LTE-NR tight interworking deployment</w:t>
      </w:r>
      <w:r>
        <w:t xml:space="preserve"> scenarios (RP-161266)</w:t>
      </w:r>
    </w:p>
    <w:p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560032">
        <w:t>S-KeNB derivation in LTE dual connectivity</w:t>
      </w:r>
    </w:p>
    <w:bookmarkStart w:id="1" w:name="_MON_1360523452"/>
    <w:bookmarkEnd w:id="1"/>
    <w:p w:rsidR="00DD3A38" w:rsidRDefault="00DD3A38" w:rsidP="00DD3A38">
      <w:pPr>
        <w:pStyle w:val="TH"/>
      </w:pPr>
      <w:r>
        <w:object w:dxaOrig="8700" w:dyaOrig="5940">
          <v:shape id="_x0000_i1026" type="#_x0000_t75" style="width:3in;height:147.5pt" o:ole="">
            <v:imagedata r:id="rId12" o:title=""/>
          </v:shape>
          <o:OLEObject Type="Embed" ProgID="Word.Picture.8" ShapeID="_x0000_i1026" DrawAspect="Content" ObjectID="_1547474518" r:id="rId13"/>
        </w:object>
      </w:r>
    </w:p>
    <w:p w:rsidR="00DD3A38" w:rsidRDefault="00DD3A38" w:rsidP="00DD3A38">
      <w:pPr>
        <w:pStyle w:val="TF"/>
      </w:pPr>
      <w:r>
        <w:t>Figure 2: Key hierarchy in E-UTRAN based on [1]</w:t>
      </w:r>
    </w:p>
    <w:p w:rsidR="00CD4C7B" w:rsidRDefault="00DD3A38" w:rsidP="001B49C9">
      <w:r>
        <w:t xml:space="preserve">It can be seen from Figure 2, that the </w:t>
      </w:r>
      <w:r>
        <w:rPr>
          <w:b/>
        </w:rPr>
        <w:t>K</w:t>
      </w:r>
      <w:r>
        <w:rPr>
          <w:b/>
          <w:vertAlign w:val="subscript"/>
        </w:rPr>
        <w:t>eNB</w:t>
      </w:r>
      <w:r>
        <w:rPr>
          <w:vertAlign w:val="subscript"/>
        </w:rPr>
        <w:t xml:space="preserve"> </w:t>
      </w:r>
      <w:r>
        <w:t>is a key derived by ME and MME from K</w:t>
      </w:r>
      <w:r>
        <w:rPr>
          <w:vertAlign w:val="subscript"/>
        </w:rPr>
        <w:t>ASME</w:t>
      </w:r>
      <w:r>
        <w:t xml:space="preserve"> or by ME and target eNB.</w:t>
      </w:r>
    </w:p>
    <w:p w:rsidR="00DD3A38" w:rsidRDefault="00DD3A38" w:rsidP="001B49C9">
      <w:r>
        <w:t>In the context of dual connectivity, the appendix in [1] also provides an overview of how the S-KeNB is derived from the KeNB from the MeNB.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D3A38" w:rsidTr="00DD3A38">
        <w:tc>
          <w:tcPr>
            <w:tcW w:w="9631" w:type="dxa"/>
          </w:tcPr>
          <w:p w:rsidR="00DD3A38" w:rsidRPr="00717609" w:rsidRDefault="00DD3A38" w:rsidP="00DD3A38">
            <w:pPr>
              <w:pStyle w:val="Heading1"/>
            </w:pPr>
            <w:bookmarkStart w:id="2" w:name="_Toc462326089"/>
            <w:r w:rsidRPr="00717609">
              <w:lastRenderedPageBreak/>
              <w:t>A.</w:t>
            </w:r>
            <w:r>
              <w:t>15</w:t>
            </w:r>
            <w:r w:rsidRPr="00717609">
              <w:tab/>
              <w:t>Derivation of S-K</w:t>
            </w:r>
            <w:r w:rsidRPr="00717609">
              <w:rPr>
                <w:vertAlign w:val="subscript"/>
              </w:rPr>
              <w:t>eNB</w:t>
            </w:r>
            <w:r w:rsidRPr="00717609">
              <w:t xml:space="preserve"> for dual connectivity</w:t>
            </w:r>
            <w:bookmarkEnd w:id="2"/>
          </w:p>
          <w:p w:rsidR="00DD3A38" w:rsidRPr="00717609" w:rsidRDefault="00DD3A38" w:rsidP="00DD3A38">
            <w:r w:rsidRPr="00717609">
              <w:t>This input string is used when the MeNB and UE derive S-K</w:t>
            </w:r>
            <w:r w:rsidRPr="00717609">
              <w:rPr>
                <w:vertAlign w:val="subscript"/>
              </w:rPr>
              <w:t>eNB</w:t>
            </w:r>
            <w:r w:rsidRPr="00717609">
              <w:t xml:space="preserve"> from K</w:t>
            </w:r>
            <w:r w:rsidRPr="00717609">
              <w:rPr>
                <w:vertAlign w:val="subscript"/>
              </w:rPr>
              <w:t>eNB</w:t>
            </w:r>
            <w:r w:rsidRPr="00717609">
              <w:t xml:space="preserve"> during dual connectivity. The following input parameters shall be used:</w:t>
            </w:r>
          </w:p>
          <w:p w:rsidR="00DD3A38" w:rsidRPr="00717609" w:rsidRDefault="00DD3A38" w:rsidP="00DD3A38">
            <w:pPr>
              <w:pStyle w:val="B1"/>
            </w:pPr>
            <w:r>
              <w:t>-</w:t>
            </w:r>
            <w:r>
              <w:tab/>
            </w:r>
            <w:r w:rsidRPr="00717609">
              <w:t>FC = 0x1C</w:t>
            </w:r>
          </w:p>
          <w:p w:rsidR="00DD3A38" w:rsidRPr="00717609" w:rsidRDefault="00DD3A38" w:rsidP="00DD3A38">
            <w:pPr>
              <w:pStyle w:val="B1"/>
            </w:pPr>
            <w:r>
              <w:t>-</w:t>
            </w:r>
            <w:r>
              <w:tab/>
            </w:r>
            <w:r w:rsidRPr="00717609">
              <w:t>P0 = Value of the S</w:t>
            </w:r>
            <w:r w:rsidRPr="00A25126">
              <w:t>CG</w:t>
            </w:r>
            <w:r w:rsidRPr="00717609">
              <w:t xml:space="preserve"> Counter as a non-negative integer</w:t>
            </w:r>
          </w:p>
          <w:p w:rsidR="00DD3A38" w:rsidRPr="00717609" w:rsidRDefault="00DD3A38" w:rsidP="00DD3A38">
            <w:pPr>
              <w:pStyle w:val="B1"/>
            </w:pPr>
            <w:r>
              <w:t>-</w:t>
            </w:r>
            <w:r>
              <w:tab/>
            </w:r>
            <w:r w:rsidRPr="00717609">
              <w:t>L0 = length of the S</w:t>
            </w:r>
            <w:r w:rsidRPr="00A25126">
              <w:t>CG</w:t>
            </w:r>
            <w:r w:rsidRPr="00717609">
              <w:t xml:space="preserve"> Counter value (i.e. 0x00 0x</w:t>
            </w:r>
            <w:r w:rsidRPr="000727AF">
              <w:t>02</w:t>
            </w:r>
            <w:r w:rsidRPr="00717609">
              <w:t>)</w:t>
            </w:r>
          </w:p>
          <w:p w:rsidR="00DD3A38" w:rsidRDefault="00DD3A38" w:rsidP="001B49C9">
            <w:r w:rsidRPr="00717609">
              <w:t>The input key shall be K</w:t>
            </w:r>
            <w:r w:rsidRPr="00717609">
              <w:rPr>
                <w:vertAlign w:val="subscript"/>
              </w:rPr>
              <w:t>eNB</w:t>
            </w:r>
            <w:r w:rsidRPr="00717609">
              <w:t xml:space="preserve"> of the MeNB.</w:t>
            </w:r>
          </w:p>
        </w:tc>
      </w:tr>
    </w:tbl>
    <w:p w:rsidR="00DD3A38" w:rsidRDefault="00DD3A38" w:rsidP="001B49C9"/>
    <w:p w:rsidR="00AB54A1" w:rsidRDefault="00AB54A1" w:rsidP="001B49C9">
      <w:r>
        <w:t xml:space="preserve">In addition to the above, the SeNB Security Key is sent to the SeNB by the MeNB during </w:t>
      </w:r>
      <w:r w:rsidRPr="00C67B9A">
        <w:rPr>
          <w:lang w:eastAsia="zh-CN"/>
        </w:rPr>
        <w:t>SENB ADDITION REQUEST</w:t>
      </w:r>
      <w:r>
        <w:rPr>
          <w:lang w:eastAsia="zh-CN"/>
        </w:rPr>
        <w:t xml:space="preserve"> and </w:t>
      </w:r>
      <w:r w:rsidRPr="00C67B9A">
        <w:t>SENB MODIFICATION REQUEST</w:t>
      </w:r>
      <w:r>
        <w:t xml:space="preserve"> procedures described in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B54A1" w:rsidTr="00AB54A1">
        <w:tc>
          <w:tcPr>
            <w:tcW w:w="9631" w:type="dxa"/>
          </w:tcPr>
          <w:p w:rsidR="00AB54A1" w:rsidRPr="00C67B9A" w:rsidRDefault="00AB54A1" w:rsidP="00AB54A1">
            <w:pPr>
              <w:pStyle w:val="Heading3"/>
              <w:rPr>
                <w:lang w:eastAsia="zh-CN"/>
              </w:rPr>
            </w:pPr>
            <w:bookmarkStart w:id="3" w:name="_Toc462753148"/>
            <w:r w:rsidRPr="00C67B9A">
              <w:t>9.2.72</w:t>
            </w:r>
            <w:r w:rsidRPr="00C67B9A">
              <w:tab/>
              <w:t>SeNB Security Key</w:t>
            </w:r>
            <w:bookmarkEnd w:id="3"/>
          </w:p>
          <w:p w:rsidR="00AB54A1" w:rsidRPr="00C67B9A" w:rsidRDefault="00AB54A1" w:rsidP="00AB54A1">
            <w:pPr>
              <w:rPr>
                <w:lang w:eastAsia="zh-CN"/>
              </w:rPr>
            </w:pPr>
            <w:r w:rsidRPr="00C67B9A">
              <w:rPr>
                <w:lang w:eastAsia="zh-CN"/>
              </w:rPr>
              <w:t xml:space="preserve">The </w:t>
            </w:r>
            <w:r w:rsidRPr="00C67B9A">
              <w:rPr>
                <w:i/>
                <w:lang w:eastAsia="zh-CN"/>
              </w:rPr>
              <w:t>SeNB</w:t>
            </w:r>
            <w:r w:rsidRPr="00C67B9A">
              <w:rPr>
                <w:lang w:eastAsia="zh-CN"/>
              </w:rPr>
              <w:t xml:space="preserve"> </w:t>
            </w:r>
            <w:r w:rsidRPr="00C67B9A">
              <w:rPr>
                <w:i/>
                <w:lang w:eastAsia="zh-CN"/>
              </w:rPr>
              <w:t>Security Key</w:t>
            </w:r>
            <w:r w:rsidRPr="00C67B9A">
              <w:rPr>
                <w:lang w:eastAsia="zh-CN"/>
              </w:rPr>
              <w:t xml:space="preserve"> IE is used to apply security in the SeNB as defined in TS 33.401 [18].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28"/>
              <w:gridCol w:w="1080"/>
              <w:gridCol w:w="900"/>
              <w:gridCol w:w="1620"/>
              <w:gridCol w:w="4028"/>
            </w:tblGrid>
            <w:tr w:rsidR="00AB54A1" w:rsidRPr="00C67B9A" w:rsidTr="00C56E7B">
              <w:tc>
                <w:tcPr>
                  <w:tcW w:w="1728" w:type="dxa"/>
                </w:tcPr>
                <w:p w:rsidR="00AB54A1" w:rsidRPr="00C67B9A" w:rsidRDefault="00AB54A1" w:rsidP="00AB54A1">
                  <w:pPr>
                    <w:pStyle w:val="TAH"/>
                    <w:rPr>
                      <w:lang w:eastAsia="ja-JP"/>
                    </w:rPr>
                  </w:pPr>
                  <w:r w:rsidRPr="00C67B9A">
                    <w:rPr>
                      <w:szCs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</w:tcPr>
                <w:p w:rsidR="00AB54A1" w:rsidRPr="00C67B9A" w:rsidRDefault="00AB54A1" w:rsidP="00AB54A1">
                  <w:pPr>
                    <w:pStyle w:val="TAH"/>
                    <w:rPr>
                      <w:lang w:eastAsia="ja-JP"/>
                    </w:rPr>
                  </w:pPr>
                  <w:r w:rsidRPr="00C67B9A">
                    <w:rPr>
                      <w:szCs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900" w:type="dxa"/>
                </w:tcPr>
                <w:p w:rsidR="00AB54A1" w:rsidRPr="00C67B9A" w:rsidRDefault="00AB54A1" w:rsidP="00AB54A1">
                  <w:pPr>
                    <w:pStyle w:val="TAH"/>
                    <w:rPr>
                      <w:lang w:eastAsia="ja-JP"/>
                    </w:rPr>
                  </w:pPr>
                  <w:r w:rsidRPr="00C67B9A">
                    <w:rPr>
                      <w:szCs w:val="18"/>
                      <w:lang w:eastAsia="ja-JP"/>
                    </w:rPr>
                    <w:t>Range</w:t>
                  </w:r>
                </w:p>
              </w:tc>
              <w:tc>
                <w:tcPr>
                  <w:tcW w:w="1620" w:type="dxa"/>
                </w:tcPr>
                <w:p w:rsidR="00AB54A1" w:rsidRPr="00C67B9A" w:rsidRDefault="00AB54A1" w:rsidP="00AB54A1">
                  <w:pPr>
                    <w:pStyle w:val="TAH"/>
                    <w:rPr>
                      <w:lang w:eastAsia="ja-JP"/>
                    </w:rPr>
                  </w:pPr>
                  <w:r w:rsidRPr="00C67B9A">
                    <w:rPr>
                      <w:szCs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4028" w:type="dxa"/>
                </w:tcPr>
                <w:p w:rsidR="00AB54A1" w:rsidRPr="00C67B9A" w:rsidRDefault="00AB54A1" w:rsidP="00AB54A1">
                  <w:pPr>
                    <w:pStyle w:val="TAH"/>
                    <w:rPr>
                      <w:lang w:eastAsia="ja-JP"/>
                    </w:rPr>
                  </w:pPr>
                  <w:r w:rsidRPr="00C67B9A">
                    <w:rPr>
                      <w:szCs w:val="18"/>
                      <w:lang w:eastAsia="ja-JP"/>
                    </w:rPr>
                    <w:t>Semantics Description</w:t>
                  </w:r>
                </w:p>
              </w:tc>
            </w:tr>
            <w:tr w:rsidR="00AB54A1" w:rsidRPr="00C67B9A" w:rsidTr="00C56E7B">
              <w:tc>
                <w:tcPr>
                  <w:tcW w:w="1728" w:type="dxa"/>
                </w:tcPr>
                <w:p w:rsidR="00AB54A1" w:rsidRPr="00C67B9A" w:rsidRDefault="00AB54A1" w:rsidP="00AB54A1">
                  <w:pPr>
                    <w:pStyle w:val="TAL"/>
                    <w:rPr>
                      <w:lang w:eastAsia="zh-CN"/>
                    </w:rPr>
                  </w:pPr>
                  <w:r w:rsidRPr="00C67B9A">
                    <w:rPr>
                      <w:rFonts w:cs="Arial"/>
                      <w:szCs w:val="18"/>
                      <w:lang w:eastAsia="zh-CN"/>
                    </w:rPr>
                    <w:t>SeNB Security Key</w:t>
                  </w:r>
                </w:p>
              </w:tc>
              <w:tc>
                <w:tcPr>
                  <w:tcW w:w="1080" w:type="dxa"/>
                </w:tcPr>
                <w:p w:rsidR="00AB54A1" w:rsidRPr="00C67B9A" w:rsidRDefault="00AB54A1" w:rsidP="00AB54A1">
                  <w:pPr>
                    <w:pStyle w:val="TAL"/>
                    <w:rPr>
                      <w:lang w:eastAsia="ja-JP"/>
                    </w:rPr>
                  </w:pPr>
                  <w:r w:rsidRPr="00C67B9A">
                    <w:rPr>
                      <w:szCs w:val="18"/>
                      <w:lang w:eastAsia="zh-CN"/>
                    </w:rPr>
                    <w:t>M</w:t>
                  </w:r>
                </w:p>
              </w:tc>
              <w:tc>
                <w:tcPr>
                  <w:tcW w:w="900" w:type="dxa"/>
                </w:tcPr>
                <w:p w:rsidR="00AB54A1" w:rsidRPr="00C67B9A" w:rsidRDefault="00AB54A1" w:rsidP="00AB54A1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620" w:type="dxa"/>
                </w:tcPr>
                <w:p w:rsidR="00AB54A1" w:rsidRPr="00C67B9A" w:rsidRDefault="00AB54A1" w:rsidP="00AB54A1">
                  <w:pPr>
                    <w:pStyle w:val="TAL"/>
                    <w:rPr>
                      <w:lang w:eastAsia="ja-JP"/>
                    </w:rPr>
                  </w:pPr>
                  <w:r w:rsidRPr="00C67B9A">
                    <w:rPr>
                      <w:lang w:eastAsia="ja-JP"/>
                    </w:rPr>
                    <w:t>BIT STRING (SIZE(256))</w:t>
                  </w:r>
                </w:p>
              </w:tc>
              <w:tc>
                <w:tcPr>
                  <w:tcW w:w="4028" w:type="dxa"/>
                </w:tcPr>
                <w:p w:rsidR="00AB54A1" w:rsidRPr="00C67B9A" w:rsidRDefault="00AB54A1" w:rsidP="00AB54A1">
                  <w:pPr>
                    <w:pStyle w:val="TAL"/>
                    <w:rPr>
                      <w:lang w:eastAsia="zh-CN"/>
                    </w:rPr>
                  </w:pPr>
                  <w:r w:rsidRPr="00C67B9A">
                    <w:rPr>
                      <w:lang w:eastAsia="zh-CN"/>
                    </w:rPr>
                    <w:t>The S-</w:t>
                  </w:r>
                  <w:r w:rsidRPr="00C67B9A">
                    <w:rPr>
                      <w:lang w:eastAsia="ja-JP"/>
                    </w:rPr>
                    <w:t xml:space="preserve">KeNB </w:t>
                  </w:r>
                  <w:r w:rsidRPr="00C67B9A">
                    <w:rPr>
                      <w:lang w:eastAsia="zh-CN"/>
                    </w:rPr>
                    <w:t xml:space="preserve">which </w:t>
                  </w:r>
                  <w:r w:rsidRPr="00C67B9A">
                    <w:rPr>
                      <w:lang w:eastAsia="ja-JP"/>
                    </w:rPr>
                    <w:t xml:space="preserve">is provided </w:t>
                  </w:r>
                  <w:r w:rsidRPr="00C67B9A">
                    <w:rPr>
                      <w:lang w:eastAsia="zh-CN"/>
                    </w:rPr>
                    <w:t>by</w:t>
                  </w:r>
                  <w:r w:rsidRPr="00C67B9A">
                    <w:rPr>
                      <w:lang w:eastAsia="ja-JP"/>
                    </w:rPr>
                    <w:t xml:space="preserve"> the M</w:t>
                  </w:r>
                  <w:r w:rsidRPr="00C67B9A">
                    <w:rPr>
                      <w:lang w:eastAsia="zh-CN"/>
                    </w:rPr>
                    <w:t>eNB</w:t>
                  </w:r>
                  <w:r w:rsidRPr="00C67B9A">
                    <w:rPr>
                      <w:lang w:eastAsia="ja-JP"/>
                    </w:rPr>
                    <w:t>, see TS 33.401 [</w:t>
                  </w:r>
                  <w:r w:rsidRPr="00C67B9A">
                    <w:rPr>
                      <w:lang w:eastAsia="zh-CN"/>
                    </w:rPr>
                    <w:t>18</w:t>
                  </w:r>
                  <w:r w:rsidRPr="00C67B9A">
                    <w:rPr>
                      <w:lang w:eastAsia="ja-JP"/>
                    </w:rPr>
                    <w:t>].</w:t>
                  </w:r>
                </w:p>
              </w:tc>
            </w:tr>
          </w:tbl>
          <w:p w:rsidR="00AB54A1" w:rsidRDefault="00AB54A1" w:rsidP="001B49C9"/>
        </w:tc>
      </w:tr>
    </w:tbl>
    <w:p w:rsidR="00560032" w:rsidRPr="006E13D1" w:rsidRDefault="00560032" w:rsidP="001B49C9"/>
    <w:p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60125B">
        <w:t>Security considerations for LTE/NR tight interworking</w:t>
      </w:r>
    </w:p>
    <w:p w:rsidR="0060125B" w:rsidRDefault="0060125B" w:rsidP="00CD4C7B">
      <w:r>
        <w:t>Based on the material presented in section 2, we make a few observations on the security considerations for LTE/NR tight interworking.</w:t>
      </w:r>
    </w:p>
    <w:p w:rsidR="0060125B" w:rsidRPr="0060125B" w:rsidRDefault="0060125B" w:rsidP="00CD4C7B">
      <w:pPr>
        <w:rPr>
          <w:b/>
        </w:rPr>
      </w:pPr>
      <w:r w:rsidRPr="0060125B">
        <w:rPr>
          <w:b/>
        </w:rPr>
        <w:t xml:space="preserve">Observation 1: Keying hierarchy and derivation mechanisms </w:t>
      </w:r>
      <w:r w:rsidR="00E861A7">
        <w:rPr>
          <w:b/>
        </w:rPr>
        <w:t>depend on the type of</w:t>
      </w:r>
      <w:r w:rsidRPr="0060125B">
        <w:rPr>
          <w:b/>
        </w:rPr>
        <w:t xml:space="preserve"> core network (EPC or Next Gen Core).</w:t>
      </w:r>
    </w:p>
    <w:p w:rsidR="00E861A7" w:rsidRDefault="0060125B" w:rsidP="00CD4C7B">
      <w:pPr>
        <w:rPr>
          <w:b/>
        </w:rPr>
      </w:pPr>
      <w:r w:rsidRPr="0060125B">
        <w:rPr>
          <w:b/>
        </w:rPr>
        <w:t xml:space="preserve">Observation 2: </w:t>
      </w:r>
      <w:r w:rsidR="00E861A7">
        <w:rPr>
          <w:b/>
        </w:rPr>
        <w:t>For Scenario 3 type of tight interworking, where LTE is connected to EPC, it seems sensible to reuse the SeNB keying principles from LTE dual connectivity.</w:t>
      </w:r>
    </w:p>
    <w:p w:rsidR="0060125B" w:rsidRPr="0060125B" w:rsidRDefault="00E861A7" w:rsidP="00CD4C7B">
      <w:pPr>
        <w:rPr>
          <w:b/>
        </w:rPr>
      </w:pPr>
      <w:r>
        <w:rPr>
          <w:b/>
        </w:rPr>
        <w:t xml:space="preserve"> Observation 3</w:t>
      </w:r>
      <w:r w:rsidRPr="0060125B">
        <w:rPr>
          <w:b/>
        </w:rPr>
        <w:t>:</w:t>
      </w:r>
      <w:r>
        <w:rPr>
          <w:b/>
        </w:rPr>
        <w:t xml:space="preserve"> For Scenario 4 and 7 type of tight interworking the security architecture principles defined in the context of the Next Gen Core would be the foundation to discuss management of secondary node keys.</w:t>
      </w:r>
    </w:p>
    <w:p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E861A7">
        <w:t>Conclusions</w:t>
      </w:r>
    </w:p>
    <w:p w:rsidR="00CD4C7B" w:rsidRDefault="005E1DA5" w:rsidP="00CD4C7B">
      <w:r>
        <w:t>In this contribution we have discussed the security key derivation mechanism for SeNB in the context of LTE/NR tight interworking. We have made the following observations and would like to make a few proposals based on the same:</w:t>
      </w:r>
    </w:p>
    <w:p w:rsidR="005E1DA5" w:rsidRPr="0060125B" w:rsidRDefault="005E1DA5" w:rsidP="005E1DA5">
      <w:pPr>
        <w:rPr>
          <w:b/>
        </w:rPr>
      </w:pPr>
      <w:r w:rsidRPr="0060125B">
        <w:rPr>
          <w:b/>
        </w:rPr>
        <w:t xml:space="preserve">Observation 1: Keying hierarchy and derivation mechanisms </w:t>
      </w:r>
      <w:r>
        <w:rPr>
          <w:b/>
        </w:rPr>
        <w:t>depend on the type of</w:t>
      </w:r>
      <w:r w:rsidRPr="0060125B">
        <w:rPr>
          <w:b/>
        </w:rPr>
        <w:t xml:space="preserve"> core network (EPC or Next Gen Core).</w:t>
      </w:r>
    </w:p>
    <w:p w:rsidR="005E1DA5" w:rsidRDefault="005E1DA5" w:rsidP="005E1DA5">
      <w:pPr>
        <w:rPr>
          <w:b/>
        </w:rPr>
      </w:pPr>
      <w:r w:rsidRPr="0060125B">
        <w:rPr>
          <w:b/>
        </w:rPr>
        <w:t xml:space="preserve">Observation 2: </w:t>
      </w:r>
      <w:r>
        <w:rPr>
          <w:b/>
        </w:rPr>
        <w:t>For Scenario 3 type of tight interworking, where LTE is connected to EPC, it seems sensible to reuse the SeNB keying principles from LTE dual connectivity.</w:t>
      </w:r>
    </w:p>
    <w:p w:rsidR="005E1DA5" w:rsidRDefault="005E1DA5" w:rsidP="005E1DA5">
      <w:pPr>
        <w:rPr>
          <w:b/>
        </w:rPr>
      </w:pPr>
      <w:r>
        <w:rPr>
          <w:b/>
        </w:rPr>
        <w:t xml:space="preserve"> Observation 3</w:t>
      </w:r>
      <w:r w:rsidRPr="0060125B">
        <w:rPr>
          <w:b/>
        </w:rPr>
        <w:t>:</w:t>
      </w:r>
      <w:r>
        <w:rPr>
          <w:b/>
        </w:rPr>
        <w:t xml:space="preserve"> For Scenario 4 and 7 type of tight interworking the security architecture principles defined in the context of the Next Gen Core would be the foundation to discuss management of secondary node keys.</w:t>
      </w:r>
    </w:p>
    <w:p w:rsidR="005E1DA5" w:rsidRDefault="005E1DA5" w:rsidP="005E1DA5">
      <w:pPr>
        <w:rPr>
          <w:b/>
        </w:rPr>
      </w:pPr>
    </w:p>
    <w:p w:rsidR="005E1DA5" w:rsidRDefault="005E1DA5" w:rsidP="005E1DA5">
      <w:pPr>
        <w:rPr>
          <w:b/>
        </w:rPr>
      </w:pPr>
      <w:r>
        <w:rPr>
          <w:b/>
        </w:rPr>
        <w:t>Proposal 1: For Scenario 3 of LTE/NR tight interworking, the S-KeNB is derived from the master node KeNB.</w:t>
      </w:r>
    </w:p>
    <w:p w:rsidR="005E1DA5" w:rsidRPr="0060125B" w:rsidRDefault="005E1DA5" w:rsidP="005E1DA5">
      <w:pPr>
        <w:rPr>
          <w:b/>
        </w:rPr>
      </w:pPr>
      <w:r>
        <w:rPr>
          <w:b/>
        </w:rPr>
        <w:lastRenderedPageBreak/>
        <w:t>Proposal 2: For Scenario 4 and 7, initiate discussion for the LTE/NR tight interworking security after a few details of the key derivation hierarchy are available.</w:t>
      </w: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496F2C" w:rsidRDefault="00496F2C" w:rsidP="00496F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75086397"/>
      <w:r>
        <w:t xml:space="preserve">3GPP TS 33.401: </w:t>
      </w:r>
      <w:r w:rsidRPr="00496F2C">
        <w:rPr>
          <w:i/>
        </w:rPr>
        <w:t>3GPP System Architecture Evolution (SAE); Security architecture</w:t>
      </w:r>
    </w:p>
    <w:p w:rsidR="00D16A92" w:rsidRDefault="00496F2C" w:rsidP="00496F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496F2C">
        <w:t xml:space="preserve">3GPP TS 36.300: </w:t>
      </w:r>
      <w:bookmarkEnd w:id="4"/>
      <w:r w:rsidRPr="00496F2C">
        <w:rPr>
          <w:i/>
        </w:rPr>
        <w:t>Evolved Universal Terrestrial Radio Access (E-UTRA) and Evolved Universal Terrestrial Radio Access Network (E-UTRAN); Overall description</w:t>
      </w:r>
      <w:r w:rsidRPr="00496F2C">
        <w:t>;</w:t>
      </w:r>
    </w:p>
    <w:p w:rsidR="00496F2C" w:rsidRPr="00496F2C" w:rsidRDefault="00D16A92" w:rsidP="00D16A92">
      <w:pPr>
        <w:spacing w:after="0"/>
      </w:pPr>
      <w:r>
        <w:br w:type="page"/>
      </w:r>
    </w:p>
    <w:p w:rsidR="00D16A92" w:rsidRDefault="00D16A92" w:rsidP="00D16A92">
      <w:pPr>
        <w:pStyle w:val="Heading1"/>
      </w:pPr>
      <w:r w:rsidRPr="008D1F94">
        <w:lastRenderedPageBreak/>
        <w:t>Appendix: Text Proposal for TR 38.80</w:t>
      </w:r>
      <w:r>
        <w:t>4</w:t>
      </w:r>
    </w:p>
    <w:p w:rsidR="00D16A92" w:rsidRPr="0036292A" w:rsidRDefault="00D16A92" w:rsidP="00D16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453159539"/>
      <w:bookmarkStart w:id="6" w:name="_Toc454284862"/>
      <w:r w:rsidRPr="0036292A">
        <w:rPr>
          <w:rFonts w:hint="eastAsia"/>
          <w:i/>
          <w:lang w:eastAsia="ja-JP"/>
        </w:rPr>
        <w:t xml:space="preserve">Beginning of </w:t>
      </w:r>
      <w:r>
        <w:rPr>
          <w:i/>
          <w:lang w:eastAsia="ja-JP"/>
        </w:rPr>
        <w:t xml:space="preserve">the </w:t>
      </w:r>
      <w:r w:rsidRPr="0036292A">
        <w:rPr>
          <w:rFonts w:hint="eastAsia"/>
          <w:i/>
          <w:lang w:eastAsia="ja-JP"/>
        </w:rPr>
        <w:t>Text Proposal</w:t>
      </w:r>
      <w:bookmarkEnd w:id="5"/>
      <w:bookmarkEnd w:id="6"/>
    </w:p>
    <w:p w:rsidR="00D16A92" w:rsidRDefault="00D16A92" w:rsidP="00D16A92">
      <w:pPr>
        <w:pStyle w:val="Heading2"/>
      </w:pPr>
      <w:bookmarkStart w:id="7" w:name="_Toc460607385"/>
      <w:r>
        <w:t>4.2</w:t>
      </w:r>
      <w:r>
        <w:tab/>
        <w:t>Guidelines</w:t>
      </w:r>
      <w:bookmarkEnd w:id="7"/>
    </w:p>
    <w:p w:rsidR="00D16A92" w:rsidRDefault="00D16A92" w:rsidP="00D16A92">
      <w:pPr>
        <w:rPr>
          <w:i/>
          <w:lang w:eastAsia="ja-JP"/>
        </w:rPr>
      </w:pPr>
      <w:r>
        <w:t>For both control plane and user plane protocols:</w:t>
      </w:r>
    </w:p>
    <w:p w:rsidR="00D16A92" w:rsidRDefault="00D16A92" w:rsidP="00D16A92">
      <w:pPr>
        <w:pStyle w:val="B1"/>
      </w:pPr>
      <w:r>
        <w:t>-</w:t>
      </w:r>
      <w:r>
        <w:tab/>
      </w:r>
      <w:r w:rsidRPr="00051A51">
        <w:t>NR Radio protocols and procedures should be designed to have as much commonality as possible between tight interworking with LTE and standalone operations</w:t>
      </w:r>
      <w:r>
        <w:t>.</w:t>
      </w:r>
    </w:p>
    <w:p w:rsidR="00D16A92" w:rsidRDefault="00D16A92" w:rsidP="00D16A92">
      <w:pPr>
        <w:pStyle w:val="B1"/>
      </w:pPr>
      <w:r>
        <w:t>-</w:t>
      </w:r>
      <w:r>
        <w:tab/>
      </w:r>
      <w:r w:rsidRPr="00051A51">
        <w:t>Most essential functions (e.g., initial system access) should be future proof and designed to be common to various different use cases and services</w:t>
      </w:r>
      <w:r>
        <w:t>.</w:t>
      </w:r>
    </w:p>
    <w:p w:rsidR="00D16A92" w:rsidRDefault="00D16A92" w:rsidP="00D16A92">
      <w:pPr>
        <w:pStyle w:val="B1"/>
        <w:rPr>
          <w:lang w:val="en-US" w:eastAsia="ja-JP"/>
        </w:rPr>
      </w:pPr>
      <w:r>
        <w:t>-</w:t>
      </w:r>
      <w:r>
        <w:tab/>
      </w:r>
      <w:r>
        <w:rPr>
          <w:rFonts w:hint="eastAsia"/>
        </w:rPr>
        <w:t xml:space="preserve">LTE layer 2 </w:t>
      </w:r>
      <w:r>
        <w:t xml:space="preserve">and RRC </w:t>
      </w:r>
      <w:r>
        <w:rPr>
          <w:rFonts w:hint="eastAsia"/>
        </w:rPr>
        <w:t>functions are taken as a baseline for NR</w:t>
      </w:r>
      <w:r>
        <w:t>.</w:t>
      </w:r>
    </w:p>
    <w:p w:rsidR="00D16A92" w:rsidRDefault="00D16A92" w:rsidP="00D16A92">
      <w:pPr>
        <w:rPr>
          <w:lang w:val="en-US" w:eastAsia="ja-JP"/>
        </w:rPr>
      </w:pPr>
      <w:r>
        <w:rPr>
          <w:lang w:val="en-US" w:eastAsia="ja-JP"/>
        </w:rPr>
        <w:t>In terms of intra-NR mobility:</w:t>
      </w:r>
    </w:p>
    <w:p w:rsidR="00D16A92" w:rsidRDefault="00D16A92" w:rsidP="00D16A92">
      <w:pPr>
        <w:pStyle w:val="B1"/>
      </w:pPr>
      <w:r>
        <w:t>-</w:t>
      </w:r>
      <w:r>
        <w:tab/>
      </w:r>
      <w:r>
        <w:rPr>
          <w:rFonts w:hint="eastAsia"/>
        </w:rPr>
        <w:t>Two types of UE states are taken as a baseline; one is network controlled mobility and the other is UE based mobility</w:t>
      </w:r>
      <w:r>
        <w:t>.</w:t>
      </w:r>
    </w:p>
    <w:p w:rsidR="00D16A92" w:rsidRDefault="00D16A92" w:rsidP="00D16A92">
      <w:pPr>
        <w:pStyle w:val="B1"/>
      </w:pPr>
      <w:r>
        <w:t>-</w:t>
      </w:r>
      <w:r>
        <w:tab/>
      </w:r>
      <w:r w:rsidRPr="00B4601C">
        <w:t>For typical inter-gNB network controlled mobility, the information provided in measurement configuration required for the UE to perform measurements should be minimised (e.g., avoid the need to provide detailed cell/beam level information). More detailed information may be provided to address some cases</w:t>
      </w:r>
      <w:r>
        <w:t>.</w:t>
      </w:r>
    </w:p>
    <w:p w:rsidR="00D16A92" w:rsidRDefault="00D16A92" w:rsidP="00D16A92">
      <w:pPr>
        <w:pStyle w:val="B1"/>
        <w:rPr>
          <w:lang w:val="en-US" w:eastAsia="ja-JP"/>
        </w:rPr>
      </w:pPr>
      <w:r>
        <w:t>-</w:t>
      </w:r>
      <w:r>
        <w:tab/>
      </w:r>
      <w:r>
        <w:rPr>
          <w:rFonts w:hint="eastAsia"/>
        </w:rPr>
        <w:t xml:space="preserve">UE context transfer should be minimised as a consequence of UE </w:t>
      </w:r>
      <w:r w:rsidRPr="00744E24">
        <w:rPr>
          <w:rFonts w:hint="eastAsia"/>
        </w:rPr>
        <w:t>based</w:t>
      </w:r>
      <w:r>
        <w:rPr>
          <w:rFonts w:hint="eastAsia"/>
        </w:rPr>
        <w:t xml:space="preserve"> mobility</w:t>
      </w:r>
      <w:r>
        <w:t>.</w:t>
      </w:r>
    </w:p>
    <w:p w:rsidR="00D16A92" w:rsidRDefault="00D16A92" w:rsidP="00D16A92">
      <w:pPr>
        <w:rPr>
          <w:lang w:val="en-US" w:eastAsia="ja-JP"/>
        </w:rPr>
      </w:pPr>
      <w:r>
        <w:rPr>
          <w:lang w:val="en-US" w:eastAsia="ja-JP"/>
        </w:rPr>
        <w:t>In terms of URLLC:</w:t>
      </w:r>
    </w:p>
    <w:p w:rsidR="00D16A92" w:rsidRDefault="00D16A92" w:rsidP="00D16A92">
      <w:pPr>
        <w:pStyle w:val="B1"/>
        <w:rPr>
          <w:lang w:val="en-US" w:eastAsia="ja-JP"/>
        </w:rPr>
      </w:pPr>
      <w:r>
        <w:t>-</w:t>
      </w:r>
      <w:r>
        <w:tab/>
      </w:r>
      <w:r w:rsidRPr="008C782D">
        <w:t xml:space="preserve">Study will not focus on </w:t>
      </w:r>
      <w:r>
        <w:t>high availability as in node, hardware/software</w:t>
      </w:r>
      <w:r w:rsidRPr="008C782D">
        <w:t>, transport link availability, and instead the focus should be on coverage, mobility, radio link features etc. related to providing low latency and/or high reliability</w:t>
      </w:r>
      <w:r>
        <w:t>.</w:t>
      </w:r>
    </w:p>
    <w:p w:rsidR="00D16A92" w:rsidRDefault="00D16A92" w:rsidP="00D16A92">
      <w:pPr>
        <w:rPr>
          <w:lang w:val="en-US" w:eastAsia="ja-JP"/>
        </w:rPr>
      </w:pPr>
      <w:r>
        <w:rPr>
          <w:lang w:val="en-US" w:eastAsia="ja-JP"/>
        </w:rPr>
        <w:t>In terms of system information delivery:</w:t>
      </w:r>
    </w:p>
    <w:p w:rsidR="00D16A92" w:rsidRDefault="00D16A92" w:rsidP="00D16A92">
      <w:pPr>
        <w:pStyle w:val="B1"/>
      </w:pPr>
      <w:r>
        <w:t>-</w:t>
      </w:r>
      <w:r>
        <w:tab/>
      </w:r>
      <w:r w:rsidRPr="0043014E">
        <w:t>System information distribution should target a single technical framework, ensuring future proofness and smooth introduction of new services and features</w:t>
      </w:r>
      <w:r>
        <w:t>.</w:t>
      </w:r>
    </w:p>
    <w:p w:rsidR="00D16A92" w:rsidRDefault="00D16A92" w:rsidP="00D16A92">
      <w:pPr>
        <w:pStyle w:val="B1"/>
      </w:pPr>
      <w:r>
        <w:t>-</w:t>
      </w:r>
      <w:r>
        <w:tab/>
      </w:r>
      <w:r w:rsidRPr="0043014E">
        <w:t>System information distribution should consider performance aspects like accessibility and state transition latency</w:t>
      </w:r>
      <w:r>
        <w:t>.</w:t>
      </w:r>
    </w:p>
    <w:p w:rsidR="00D16A92" w:rsidRDefault="00D16A92" w:rsidP="00D16A92">
      <w:pPr>
        <w:pStyle w:val="B1"/>
      </w:pPr>
      <w:r>
        <w:t>-</w:t>
      </w:r>
      <w:r>
        <w:tab/>
      </w:r>
      <w:r w:rsidRPr="0043014E">
        <w:t>System information distribution should enable a high level of configurability enabling optimization of KPIs such as energy savings and accessibility</w:t>
      </w:r>
      <w:r>
        <w:t>.</w:t>
      </w:r>
    </w:p>
    <w:p w:rsidR="00D16A92" w:rsidRDefault="00D16A92" w:rsidP="00D16A92">
      <w:pPr>
        <w:pStyle w:val="B1"/>
      </w:pPr>
      <w:r>
        <w:t>-</w:t>
      </w:r>
      <w:r>
        <w:tab/>
      </w:r>
      <w:r w:rsidRPr="0043014E">
        <w:t>System information distribution should include fast and efficient mechanisms for handling of system information change</w:t>
      </w:r>
      <w:r>
        <w:t>.</w:t>
      </w:r>
    </w:p>
    <w:p w:rsidR="00D16A92" w:rsidRDefault="00D16A92" w:rsidP="00D16A92">
      <w:pPr>
        <w:pStyle w:val="B1"/>
      </w:pPr>
      <w:r>
        <w:t>-</w:t>
      </w:r>
      <w:r>
        <w:tab/>
      </w:r>
      <w:r w:rsidRPr="0043014E">
        <w:t>System information distribution should explore and leverage the fact that parts of the system information may be the same across a large area, such as the parts associated to system access (e.g. RACH configuration during state transitions)</w:t>
      </w:r>
      <w:r>
        <w:t>.</w:t>
      </w:r>
    </w:p>
    <w:p w:rsidR="00D16A92" w:rsidRDefault="00D16A92" w:rsidP="00D16A92">
      <w:pPr>
        <w:pStyle w:val="B1"/>
      </w:pPr>
      <w:r>
        <w:t>-</w:t>
      </w:r>
      <w:r>
        <w:tab/>
      </w:r>
      <w:r w:rsidRPr="0043014E">
        <w:t>System information distribution in NR should be designed such that UEs supporting less than the carrier bandwidth can determine at least the minimum system information</w:t>
      </w:r>
      <w:r>
        <w:t>.</w:t>
      </w:r>
    </w:p>
    <w:p w:rsidR="00D16A92" w:rsidRDefault="00D16A92" w:rsidP="00D16A92">
      <w:pPr>
        <w:pStyle w:val="B1"/>
      </w:pPr>
      <w:r>
        <w:t>-</w:t>
      </w:r>
      <w:r>
        <w:tab/>
      </w:r>
      <w:r w:rsidRPr="00744E24">
        <w:t>System information broadcast should allow configurations that enable network energy efficiency (e.g. by long DTX duration)</w:t>
      </w:r>
      <w:r>
        <w:t>.</w:t>
      </w:r>
    </w:p>
    <w:p w:rsidR="00D16A92" w:rsidRDefault="00D16A92" w:rsidP="00D16A92">
      <w:pPr>
        <w:rPr>
          <w:lang w:val="en-US" w:eastAsia="ja-JP"/>
        </w:rPr>
      </w:pPr>
      <w:r>
        <w:rPr>
          <w:lang w:val="en-US" w:eastAsia="ja-JP"/>
        </w:rPr>
        <w:t>In terms of LTE NR tight interworking:</w:t>
      </w:r>
    </w:p>
    <w:p w:rsidR="00D16A92" w:rsidRPr="00D16A92" w:rsidRDefault="00D16A92" w:rsidP="00D16A92">
      <w:pPr>
        <w:pStyle w:val="ListParagraph"/>
        <w:numPr>
          <w:ilvl w:val="0"/>
          <w:numId w:val="5"/>
        </w:numPr>
        <w:rPr>
          <w:ins w:id="8" w:author="Ali, Amaanat (Nokia - FI/Espoo)" w:date="2016-11-02T11:33:00Z"/>
          <w:b/>
        </w:rPr>
      </w:pPr>
      <w:ins w:id="9" w:author="Ali, Amaanat (Nokia - FI/Espoo)" w:date="2016-11-02T11:33:00Z">
        <w:r w:rsidRPr="00D16A92">
          <w:rPr>
            <w:b/>
          </w:rPr>
          <w:t>For Scenario 3 of LTE/NR tight interworking, the S-KeNB is derived from the master node KeNB.</w:t>
        </w:r>
      </w:ins>
    </w:p>
    <w:p w:rsidR="00D16A92" w:rsidRDefault="00D16A92" w:rsidP="00D16A92">
      <w:pPr>
        <w:pStyle w:val="ListParagraph"/>
        <w:numPr>
          <w:ilvl w:val="0"/>
          <w:numId w:val="5"/>
        </w:numPr>
        <w:rPr>
          <w:ins w:id="10" w:author="Ali, Amaanat (Nokia - FI/Espoo)" w:date="2016-11-02T11:36:00Z"/>
          <w:b/>
        </w:rPr>
      </w:pPr>
      <w:ins w:id="11" w:author="Ali, Amaanat (Nokia - FI/Espoo)" w:date="2016-11-02T11:33:00Z">
        <w:r w:rsidRPr="00D16A92">
          <w:rPr>
            <w:b/>
          </w:rPr>
          <w:t>For Scenario 4 and 7, the S-KeNB</w:t>
        </w:r>
      </w:ins>
      <w:ins w:id="12" w:author="Ali, Amaanat (Nokia - FI/Espoo)" w:date="2016-11-02T11:35:00Z">
        <w:r>
          <w:rPr>
            <w:b/>
          </w:rPr>
          <w:t xml:space="preserve"> key derivation</w:t>
        </w:r>
      </w:ins>
      <w:ins w:id="13" w:author="Ali, Amaanat (Nokia - FI/Espoo)" w:date="2016-11-02T11:33:00Z">
        <w:r w:rsidRPr="00D16A92">
          <w:rPr>
            <w:b/>
          </w:rPr>
          <w:t xml:space="preserve"> </w:t>
        </w:r>
      </w:ins>
      <w:ins w:id="14" w:author="Ali, Amaanat (Nokia - FI/Espoo)" w:date="2016-11-02T11:35:00Z">
        <w:r>
          <w:rPr>
            <w:b/>
          </w:rPr>
          <w:t>is FFS.</w:t>
        </w:r>
      </w:ins>
      <w:del w:id="15" w:author="Ali, Amaanat (Nokia - FI/Espoo)" w:date="2016-11-02T11:35:00Z">
        <w:r w:rsidRPr="00D16A92" w:rsidDel="00D16A92">
          <w:rPr>
            <w:b/>
          </w:rPr>
          <w:delText xml:space="preserve"> </w:delText>
        </w:r>
      </w:del>
    </w:p>
    <w:p w:rsidR="00D16A92" w:rsidRPr="0036292A" w:rsidDel="009A331B" w:rsidRDefault="00D16A92" w:rsidP="00D16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del w:id="16" w:author="Ali, Amaanat (Nokia - FI/Espoo)" w:date="2016-11-02T11:35:00Z"/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</w:t>
      </w:r>
      <w:r>
        <w:rPr>
          <w:i/>
          <w:lang w:eastAsia="ja-JP"/>
        </w:rPr>
        <w:t xml:space="preserve"> the</w:t>
      </w:r>
      <w:r w:rsidRPr="0036292A">
        <w:rPr>
          <w:rFonts w:hint="eastAsia"/>
          <w:i/>
          <w:lang w:eastAsia="ja-JP"/>
        </w:rPr>
        <w:t xml:space="preserve"> Text Proposal</w:t>
      </w:r>
    </w:p>
    <w:p w:rsidR="00080512" w:rsidRPr="00496F2C" w:rsidRDefault="00080512" w:rsidP="009A3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</w:pPr>
    </w:p>
    <w:sectPr w:rsidR="00080512" w:rsidRPr="00496F2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78A" w:rsidRDefault="0074178A">
      <w:r>
        <w:separator/>
      </w:r>
    </w:p>
  </w:endnote>
  <w:endnote w:type="continuationSeparator" w:id="0">
    <w:p w:rsidR="0074178A" w:rsidRDefault="00741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78A" w:rsidRDefault="0074178A">
      <w:r>
        <w:separator/>
      </w:r>
    </w:p>
  </w:footnote>
  <w:footnote w:type="continuationSeparator" w:id="0">
    <w:p w:rsidR="0074178A" w:rsidRDefault="00741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3F01292"/>
    <w:multiLevelType w:val="hybridMultilevel"/>
    <w:tmpl w:val="A8CC2D80"/>
    <w:lvl w:ilvl="0" w:tplc="FFECA83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i, Amaanat (Nokia - FI/Espoo)">
    <w15:presenceInfo w15:providerId="AD" w15:userId="S-1-5-21-1593251271-2640304127-1825641215-9243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71640"/>
    <w:rsid w:val="00080512"/>
    <w:rsid w:val="00090468"/>
    <w:rsid w:val="000B7BCF"/>
    <w:rsid w:val="000C522B"/>
    <w:rsid w:val="000D58AB"/>
    <w:rsid w:val="001741A0"/>
    <w:rsid w:val="00194CD0"/>
    <w:rsid w:val="001B49C9"/>
    <w:rsid w:val="001F168B"/>
    <w:rsid w:val="001F7831"/>
    <w:rsid w:val="00204045"/>
    <w:rsid w:val="00225F29"/>
    <w:rsid w:val="0022606D"/>
    <w:rsid w:val="002747EC"/>
    <w:rsid w:val="002855BF"/>
    <w:rsid w:val="002F0D22"/>
    <w:rsid w:val="003172DC"/>
    <w:rsid w:val="00326069"/>
    <w:rsid w:val="0035462D"/>
    <w:rsid w:val="003B40AD"/>
    <w:rsid w:val="003C4E37"/>
    <w:rsid w:val="003E16BE"/>
    <w:rsid w:val="00401855"/>
    <w:rsid w:val="00477455"/>
    <w:rsid w:val="00496F2C"/>
    <w:rsid w:val="004D3578"/>
    <w:rsid w:val="004D380D"/>
    <w:rsid w:val="004E213A"/>
    <w:rsid w:val="00503171"/>
    <w:rsid w:val="00534DA0"/>
    <w:rsid w:val="00543E6C"/>
    <w:rsid w:val="00560032"/>
    <w:rsid w:val="00565087"/>
    <w:rsid w:val="0056573F"/>
    <w:rsid w:val="005E1DA5"/>
    <w:rsid w:val="0060125B"/>
    <w:rsid w:val="00611566"/>
    <w:rsid w:val="00646D99"/>
    <w:rsid w:val="00656910"/>
    <w:rsid w:val="006C66D8"/>
    <w:rsid w:val="006D1E24"/>
    <w:rsid w:val="006E1417"/>
    <w:rsid w:val="006F6A2C"/>
    <w:rsid w:val="00725327"/>
    <w:rsid w:val="00734A5B"/>
    <w:rsid w:val="0074178A"/>
    <w:rsid w:val="00744E76"/>
    <w:rsid w:val="00757D40"/>
    <w:rsid w:val="00781F0F"/>
    <w:rsid w:val="0078727C"/>
    <w:rsid w:val="0079049D"/>
    <w:rsid w:val="007A4226"/>
    <w:rsid w:val="007B18D8"/>
    <w:rsid w:val="007C095F"/>
    <w:rsid w:val="008028A4"/>
    <w:rsid w:val="00841679"/>
    <w:rsid w:val="008768CA"/>
    <w:rsid w:val="00880559"/>
    <w:rsid w:val="008B6A45"/>
    <w:rsid w:val="0090271F"/>
    <w:rsid w:val="00942EC2"/>
    <w:rsid w:val="00961B32"/>
    <w:rsid w:val="00974BB0"/>
    <w:rsid w:val="00984C49"/>
    <w:rsid w:val="009A0AF3"/>
    <w:rsid w:val="009A331B"/>
    <w:rsid w:val="009B07CD"/>
    <w:rsid w:val="009C19E9"/>
    <w:rsid w:val="00A10F02"/>
    <w:rsid w:val="00A53724"/>
    <w:rsid w:val="00A577FA"/>
    <w:rsid w:val="00A82346"/>
    <w:rsid w:val="00A9671C"/>
    <w:rsid w:val="00AB54A1"/>
    <w:rsid w:val="00B15449"/>
    <w:rsid w:val="00B47FD1"/>
    <w:rsid w:val="00C12B51"/>
    <w:rsid w:val="00C24650"/>
    <w:rsid w:val="00C33079"/>
    <w:rsid w:val="00C8087C"/>
    <w:rsid w:val="00C83A13"/>
    <w:rsid w:val="00C8472C"/>
    <w:rsid w:val="00CA3D0C"/>
    <w:rsid w:val="00CA654B"/>
    <w:rsid w:val="00CD4C7B"/>
    <w:rsid w:val="00CE3D5B"/>
    <w:rsid w:val="00D16A92"/>
    <w:rsid w:val="00D57689"/>
    <w:rsid w:val="00D738D6"/>
    <w:rsid w:val="00D80795"/>
    <w:rsid w:val="00D87E00"/>
    <w:rsid w:val="00D9134D"/>
    <w:rsid w:val="00D96D11"/>
    <w:rsid w:val="00DA7A03"/>
    <w:rsid w:val="00DB1818"/>
    <w:rsid w:val="00DB4EBB"/>
    <w:rsid w:val="00DC309B"/>
    <w:rsid w:val="00DC4DA2"/>
    <w:rsid w:val="00DD3A38"/>
    <w:rsid w:val="00E62835"/>
    <w:rsid w:val="00E77645"/>
    <w:rsid w:val="00E83697"/>
    <w:rsid w:val="00E861A7"/>
    <w:rsid w:val="00EC4A25"/>
    <w:rsid w:val="00F00E68"/>
    <w:rsid w:val="00F025A2"/>
    <w:rsid w:val="00F04F0D"/>
    <w:rsid w:val="00F07388"/>
    <w:rsid w:val="00F2026E"/>
    <w:rsid w:val="00F2210A"/>
    <w:rsid w:val="00F37743"/>
    <w:rsid w:val="00F54A3D"/>
    <w:rsid w:val="00F571D6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68864F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THChar">
    <w:name w:val="TH Char"/>
    <w:basedOn w:val="DefaultParagraphFont"/>
    <w:link w:val="TH"/>
    <w:rsid w:val="00DD3A38"/>
    <w:rPr>
      <w:rFonts w:ascii="Arial" w:hAnsi="Arial"/>
      <w:b/>
      <w:lang w:eastAsia="en-US"/>
    </w:rPr>
  </w:style>
  <w:style w:type="character" w:customStyle="1" w:styleId="TF0">
    <w:name w:val="TF (文字)"/>
    <w:basedOn w:val="DefaultParagraphFont"/>
    <w:link w:val="TF"/>
    <w:rsid w:val="00DD3A38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DD3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DD3A38"/>
    <w:rPr>
      <w:lang w:eastAsia="en-US"/>
    </w:rPr>
  </w:style>
  <w:style w:type="character" w:customStyle="1" w:styleId="TALChar">
    <w:name w:val="TAL Char"/>
    <w:link w:val="TAL"/>
    <w:rsid w:val="00AB54A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AB54A1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D16A92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9A331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A331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C82DB0-4996-44C0-9DC3-297AEB4DA060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2.xml><?xml version="1.0" encoding="utf-8"?>
<ds:datastoreItem xmlns:ds="http://schemas.openxmlformats.org/officeDocument/2006/customXml" ds:itemID="{58A2A881-531B-4BB5-B60D-629EE63AC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24E893-D412-491A-B15F-6EEAAD54FD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47</TotalTime>
  <Pages>4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6716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Ali, Amaanat (Nokia - FI/Espoo)</cp:lastModifiedBy>
  <cp:revision>22</cp:revision>
  <dcterms:created xsi:type="dcterms:W3CDTF">2016-08-12T03:53:00Z</dcterms:created>
  <dcterms:modified xsi:type="dcterms:W3CDTF">2017-02-01T15:15:00Z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